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94" w:rsidRDefault="00FE4B94"/>
    <w:p w:rsidR="00434425" w:rsidRDefault="00434425"/>
    <w:p w:rsidR="00434425" w:rsidRPr="00CC4116" w:rsidRDefault="00434425" w:rsidP="00434425">
      <w:pPr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116">
        <w:rPr>
          <w:rFonts w:ascii="Times New Roman" w:hAnsi="Times New Roman" w:cs="Times New Roman"/>
          <w:b/>
          <w:sz w:val="26"/>
          <w:szCs w:val="26"/>
        </w:rPr>
        <w:t>23. TÜKETİCİ KONSEYİ KARARLARI</w:t>
      </w:r>
    </w:p>
    <w:p w:rsidR="00434425" w:rsidRPr="00CC4116" w:rsidRDefault="00434425" w:rsidP="00434425">
      <w:pPr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116">
        <w:rPr>
          <w:rFonts w:ascii="Times New Roman" w:hAnsi="Times New Roman" w:cs="Times New Roman"/>
          <w:b/>
          <w:sz w:val="26"/>
          <w:szCs w:val="26"/>
        </w:rPr>
        <w:t>(02 Mayıs 2019)</w:t>
      </w:r>
    </w:p>
    <w:p w:rsidR="00434425" w:rsidRPr="00CC4116" w:rsidRDefault="00434425" w:rsidP="00434425">
      <w:pPr>
        <w:spacing w:after="0" w:line="240" w:lineRule="auto"/>
        <w:ind w:right="-86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5D041E" w:rsidRDefault="00434425" w:rsidP="00434425">
      <w:pPr>
        <w:pStyle w:val="GvdeMetni"/>
        <w:spacing w:after="0"/>
        <w:ind w:firstLine="851"/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5D041E">
        <w:rPr>
          <w:rFonts w:ascii="Times New Roman" w:eastAsiaTheme="minorEastAsia" w:hAnsi="Times New Roman"/>
          <w:sz w:val="26"/>
          <w:szCs w:val="26"/>
        </w:rPr>
        <w:t xml:space="preserve">6502 sayılı Tüketicinin Korunması Hakkında Kanun’un “Tüketici Konseyi” başlıklı 64’üncü maddesi ve 05 Temmuz 2014 tarih, 29051 sayılı Resmi </w:t>
      </w:r>
      <w:proofErr w:type="spellStart"/>
      <w:r w:rsidRPr="005D041E">
        <w:rPr>
          <w:rFonts w:ascii="Times New Roman" w:eastAsiaTheme="minorEastAsia" w:hAnsi="Times New Roman"/>
          <w:sz w:val="26"/>
          <w:szCs w:val="26"/>
        </w:rPr>
        <w:t>Gazete’de</w:t>
      </w:r>
      <w:proofErr w:type="spellEnd"/>
      <w:r w:rsidRPr="005D041E">
        <w:rPr>
          <w:rFonts w:ascii="Times New Roman" w:eastAsiaTheme="minorEastAsia" w:hAnsi="Times New Roman"/>
          <w:sz w:val="26"/>
          <w:szCs w:val="26"/>
        </w:rPr>
        <w:t xml:space="preserve"> yayımlanan Tüketici Konseyi Yönetmeliği’nin 4’üncü maddesi</w:t>
      </w:r>
      <w:r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5D041E">
        <w:rPr>
          <w:rFonts w:ascii="Times New Roman" w:eastAsiaTheme="minorEastAsia" w:hAnsi="Times New Roman"/>
          <w:sz w:val="26"/>
          <w:szCs w:val="26"/>
        </w:rPr>
        <w:t>hük</w:t>
      </w:r>
      <w:r>
        <w:rPr>
          <w:rFonts w:ascii="Times New Roman" w:eastAsiaTheme="minorEastAsia" w:hAnsi="Times New Roman"/>
          <w:sz w:val="26"/>
          <w:szCs w:val="26"/>
        </w:rPr>
        <w:t xml:space="preserve">mü </w:t>
      </w:r>
      <w:r w:rsidRPr="005D041E">
        <w:rPr>
          <w:rFonts w:ascii="Times New Roman" w:eastAsiaTheme="minorEastAsia" w:hAnsi="Times New Roman"/>
          <w:sz w:val="26"/>
          <w:szCs w:val="26"/>
        </w:rPr>
        <w:t xml:space="preserve">uyarınca </w:t>
      </w:r>
      <w:r>
        <w:rPr>
          <w:rFonts w:ascii="Times New Roman" w:eastAsiaTheme="minorEastAsia" w:hAnsi="Times New Roman"/>
          <w:sz w:val="26"/>
          <w:szCs w:val="26"/>
        </w:rPr>
        <w:t xml:space="preserve">Bakanlığımız </w:t>
      </w:r>
      <w:r w:rsidRPr="00CC4116">
        <w:rPr>
          <w:rFonts w:ascii="Times New Roman" w:eastAsiaTheme="minorEastAsia" w:hAnsi="Times New Roman"/>
          <w:sz w:val="26"/>
          <w:szCs w:val="26"/>
        </w:rPr>
        <w:t xml:space="preserve">koordinatörlüğünde yılda en az </w:t>
      </w:r>
      <w:r>
        <w:rPr>
          <w:rFonts w:ascii="Times New Roman" w:eastAsiaTheme="minorEastAsia" w:hAnsi="Times New Roman"/>
          <w:sz w:val="26"/>
          <w:szCs w:val="26"/>
        </w:rPr>
        <w:t>bir</w:t>
      </w:r>
      <w:r w:rsidRPr="00CC4116">
        <w:rPr>
          <w:rFonts w:ascii="Times New Roman" w:eastAsiaTheme="minorEastAsia" w:hAnsi="Times New Roman"/>
          <w:sz w:val="26"/>
          <w:szCs w:val="26"/>
        </w:rPr>
        <w:t xml:space="preserve"> kere </w:t>
      </w:r>
      <w:r w:rsidRPr="005D041E">
        <w:rPr>
          <w:rFonts w:ascii="Times New Roman" w:eastAsiaTheme="minorEastAsia" w:hAnsi="Times New Roman"/>
          <w:sz w:val="26"/>
          <w:szCs w:val="26"/>
        </w:rPr>
        <w:t xml:space="preserve">düzenlenmekte olan Tüketici Konseyi’nin 23’üncüsü, 02 Mayıs 2019 günü Ankara’da 59 delegenin katılımı ile toplanmıştır. </w:t>
      </w:r>
      <w:proofErr w:type="gramEnd"/>
    </w:p>
    <w:p w:rsidR="00434425" w:rsidRDefault="00434425" w:rsidP="00434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Konseyde</w:t>
      </w:r>
      <w:r w:rsidRPr="00CC4116">
        <w:rPr>
          <w:rFonts w:ascii="Times New Roman" w:hAnsi="Times New Roman" w:cs="Times New Roman"/>
          <w:sz w:val="26"/>
          <w:szCs w:val="26"/>
        </w:rPr>
        <w:t>;</w:t>
      </w:r>
    </w:p>
    <w:p w:rsidR="00434425" w:rsidRPr="00CC4116" w:rsidRDefault="00434425" w:rsidP="00434425">
      <w:pPr>
        <w:pStyle w:val="GvdeMetni"/>
        <w:spacing w:after="0"/>
        <w:ind w:right="-86" w:firstLine="851"/>
        <w:jc w:val="both"/>
        <w:rPr>
          <w:rFonts w:ascii="Times New Roman" w:eastAsiaTheme="minorEastAsia" w:hAnsi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 xml:space="preserve">a) 20’nci ve 21’inci Tüketici Konseyinde alınan kararlar doğrultusunda oluşturulan “Araştırma ve Çalışma </w:t>
      </w:r>
      <w:proofErr w:type="spellStart"/>
      <w:r w:rsidRPr="00CC4116">
        <w:rPr>
          <w:rFonts w:ascii="Times New Roman" w:hAnsi="Times New Roman" w:cs="Times New Roman"/>
          <w:sz w:val="26"/>
          <w:szCs w:val="26"/>
        </w:rPr>
        <w:t>Komisyonu”nun</w:t>
      </w:r>
      <w:proofErr w:type="spellEnd"/>
      <w:r w:rsidRPr="00CC4116">
        <w:rPr>
          <w:rFonts w:ascii="Times New Roman" w:hAnsi="Times New Roman" w:cs="Times New Roman"/>
          <w:sz w:val="26"/>
          <w:szCs w:val="26"/>
        </w:rPr>
        <w:t xml:space="preserve"> aynı kurumsal </w:t>
      </w:r>
      <w:proofErr w:type="spellStart"/>
      <w:r w:rsidRPr="00CC4116">
        <w:rPr>
          <w:rFonts w:ascii="Times New Roman" w:hAnsi="Times New Roman" w:cs="Times New Roman"/>
          <w:sz w:val="26"/>
          <w:szCs w:val="26"/>
        </w:rPr>
        <w:t>temsiliyet</w:t>
      </w:r>
      <w:proofErr w:type="spellEnd"/>
      <w:r w:rsidRPr="00CC4116">
        <w:rPr>
          <w:rFonts w:ascii="Times New Roman" w:hAnsi="Times New Roman" w:cs="Times New Roman"/>
          <w:sz w:val="26"/>
          <w:szCs w:val="26"/>
        </w:rPr>
        <w:t>, görev ve yetkilerle çalışmalarını sürdürmesine,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4116">
        <w:rPr>
          <w:rFonts w:ascii="Times New Roman" w:hAnsi="Times New Roman" w:cs="Times New Roman"/>
          <w:sz w:val="26"/>
          <w:szCs w:val="26"/>
        </w:rPr>
        <w:t xml:space="preserve">b) 6502 sayılı Kanun’da </w:t>
      </w:r>
      <w:r>
        <w:rPr>
          <w:rFonts w:ascii="Times New Roman" w:hAnsi="Times New Roman" w:cs="Times New Roman"/>
          <w:sz w:val="26"/>
          <w:szCs w:val="26"/>
        </w:rPr>
        <w:t>Bankacılık Düzenleme ve Denetleme Kurumu (</w:t>
      </w:r>
      <w:r w:rsidRPr="00CC4116">
        <w:rPr>
          <w:rFonts w:ascii="Times New Roman" w:hAnsi="Times New Roman" w:cs="Times New Roman"/>
          <w:sz w:val="26"/>
          <w:szCs w:val="26"/>
        </w:rPr>
        <w:t>BDDK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C4116">
        <w:rPr>
          <w:rFonts w:ascii="Times New Roman" w:hAnsi="Times New Roman" w:cs="Times New Roman"/>
          <w:sz w:val="26"/>
          <w:szCs w:val="26"/>
        </w:rPr>
        <w:t>’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CC4116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CC4116">
        <w:rPr>
          <w:rFonts w:ascii="Times New Roman" w:hAnsi="Times New Roman" w:cs="Times New Roman"/>
          <w:sz w:val="26"/>
          <w:szCs w:val="26"/>
        </w:rPr>
        <w:t xml:space="preserve"> verilen yetki ile ilgili olarak tüketici haklarının gerekleri</w:t>
      </w:r>
      <w:r>
        <w:rPr>
          <w:rFonts w:ascii="Times New Roman" w:hAnsi="Times New Roman" w:cs="Times New Roman"/>
          <w:sz w:val="26"/>
          <w:szCs w:val="26"/>
        </w:rPr>
        <w:t>ne uygun</w:t>
      </w:r>
      <w:r w:rsidRPr="00CC4116">
        <w:rPr>
          <w:rFonts w:ascii="Times New Roman" w:hAnsi="Times New Roman" w:cs="Times New Roman"/>
          <w:sz w:val="26"/>
          <w:szCs w:val="26"/>
        </w:rPr>
        <w:t xml:space="preserve"> ve tüketici lehine mevzuat düzenlenmesine esas oluşturacak hazırlık çalışma</w:t>
      </w:r>
      <w:r>
        <w:rPr>
          <w:rFonts w:ascii="Times New Roman" w:hAnsi="Times New Roman" w:cs="Times New Roman"/>
          <w:sz w:val="26"/>
          <w:szCs w:val="26"/>
        </w:rPr>
        <w:t xml:space="preserve">larını yürütmek amacıyla </w:t>
      </w:r>
      <w:r w:rsidRPr="00CC4116">
        <w:rPr>
          <w:rFonts w:ascii="Times New Roman" w:hAnsi="Times New Roman" w:cs="Times New Roman"/>
          <w:sz w:val="26"/>
          <w:szCs w:val="26"/>
        </w:rPr>
        <w:t xml:space="preserve">Bakanlık, BDDK, </w:t>
      </w:r>
      <w:r>
        <w:rPr>
          <w:rFonts w:ascii="Times New Roman" w:hAnsi="Times New Roman" w:cs="Times New Roman"/>
          <w:sz w:val="26"/>
          <w:szCs w:val="26"/>
        </w:rPr>
        <w:t xml:space="preserve">Türkiye </w:t>
      </w:r>
      <w:r w:rsidRPr="00CC4116">
        <w:rPr>
          <w:rFonts w:ascii="Times New Roman" w:hAnsi="Times New Roman" w:cs="Times New Roman"/>
          <w:sz w:val="26"/>
          <w:szCs w:val="26"/>
        </w:rPr>
        <w:t>Bankalar Birliği, Türkiye Katılım Bankaları Birliği ve Tüketici Federasyonlarından birer temsilcinin ye</w:t>
      </w:r>
      <w:r>
        <w:rPr>
          <w:rFonts w:ascii="Times New Roman" w:hAnsi="Times New Roman" w:cs="Times New Roman"/>
          <w:sz w:val="26"/>
          <w:szCs w:val="26"/>
        </w:rPr>
        <w:t xml:space="preserve">r alacağı bir çalışma komisyonunun </w:t>
      </w:r>
      <w:r w:rsidRPr="00CC4116">
        <w:rPr>
          <w:rFonts w:ascii="Times New Roman" w:hAnsi="Times New Roman" w:cs="Times New Roman"/>
          <w:sz w:val="26"/>
          <w:szCs w:val="26"/>
        </w:rPr>
        <w:t>kurulmasına,</w:t>
      </w:r>
      <w:proofErr w:type="gramEnd"/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116">
        <w:rPr>
          <w:rFonts w:ascii="Times New Roman" w:hAnsi="Times New Roman" w:cs="Times New Roman"/>
          <w:sz w:val="26"/>
          <w:szCs w:val="26"/>
        </w:rPr>
        <w:t xml:space="preserve">23. Tüketici Konseyi’ne sunulan “Tüketici Hakem Heyetleri Yıllık Değerlendirme Taslak </w:t>
      </w:r>
      <w:proofErr w:type="spellStart"/>
      <w:r w:rsidRPr="00CC4116">
        <w:rPr>
          <w:rFonts w:ascii="Times New Roman" w:hAnsi="Times New Roman" w:cs="Times New Roman"/>
          <w:sz w:val="26"/>
          <w:szCs w:val="26"/>
        </w:rPr>
        <w:t>Raporu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CC4116">
        <w:rPr>
          <w:rFonts w:ascii="Times New Roman" w:hAnsi="Times New Roman" w:cs="Times New Roman"/>
          <w:sz w:val="26"/>
          <w:szCs w:val="26"/>
        </w:rPr>
        <w:t>nun</w:t>
      </w:r>
      <w:proofErr w:type="spellEnd"/>
      <w:r w:rsidRPr="00CC4116">
        <w:rPr>
          <w:rFonts w:ascii="Times New Roman" w:hAnsi="Times New Roman" w:cs="Times New Roman"/>
          <w:sz w:val="26"/>
          <w:szCs w:val="26"/>
        </w:rPr>
        <w:t xml:space="preserve"> tamamlanmış olduğunun kabul edilmesine,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 xml:space="preserve">d) 23. Tüketici Konseyi’nde oluşturulan </w:t>
      </w:r>
      <w:proofErr w:type="spellStart"/>
      <w:r w:rsidRPr="00CC4116">
        <w:rPr>
          <w:rFonts w:ascii="Times New Roman" w:hAnsi="Times New Roman" w:cs="Times New Roman"/>
          <w:sz w:val="26"/>
          <w:szCs w:val="26"/>
        </w:rPr>
        <w:t>Çalıştay</w:t>
      </w:r>
      <w:r>
        <w:rPr>
          <w:rFonts w:ascii="Times New Roman" w:hAnsi="Times New Roman" w:cs="Times New Roman"/>
          <w:sz w:val="26"/>
          <w:szCs w:val="26"/>
        </w:rPr>
        <w:t>larca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hazırlanan ve Konsey D</w:t>
      </w:r>
      <w:r w:rsidRPr="00CC4116">
        <w:rPr>
          <w:rFonts w:ascii="Times New Roman" w:hAnsi="Times New Roman" w:cs="Times New Roman"/>
          <w:sz w:val="26"/>
          <w:szCs w:val="26"/>
        </w:rPr>
        <w:t xml:space="preserve">ivanına sunulan sonuç raporlarının 23. Tüketici Konseyi Kararları olarak kabul edilmesine karar verilmiştir.  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 xml:space="preserve">Söz konusu </w:t>
      </w:r>
      <w:proofErr w:type="spellStart"/>
      <w:r w:rsidRPr="00CC4116">
        <w:rPr>
          <w:rFonts w:ascii="Times New Roman" w:hAnsi="Times New Roman" w:cs="Times New Roman"/>
          <w:sz w:val="26"/>
          <w:szCs w:val="26"/>
        </w:rPr>
        <w:t>çalıştaylarda</w:t>
      </w:r>
      <w:proofErr w:type="spellEnd"/>
      <w:r w:rsidRPr="00CC4116">
        <w:rPr>
          <w:rFonts w:ascii="Times New Roman" w:hAnsi="Times New Roman" w:cs="Times New Roman"/>
          <w:sz w:val="26"/>
          <w:szCs w:val="26"/>
        </w:rPr>
        <w:t xml:space="preserve"> sunulan öneriler aşağıdaki şekilde özetlenebilir: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/>
        <w:rPr>
          <w:rFonts w:ascii="Times New Roman" w:hAnsi="Times New Roman" w:cs="Times New Roman"/>
          <w:b/>
          <w:sz w:val="26"/>
          <w:szCs w:val="26"/>
        </w:rPr>
      </w:pPr>
      <w:r w:rsidRPr="00CC4116"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CC4116">
        <w:rPr>
          <w:rFonts w:ascii="Times New Roman" w:hAnsi="Times New Roman" w:cs="Times New Roman"/>
          <w:b/>
          <w:sz w:val="26"/>
          <w:szCs w:val="26"/>
        </w:rPr>
        <w:t>Çalıştay</w:t>
      </w:r>
      <w:proofErr w:type="spellEnd"/>
      <w:r w:rsidRPr="00CC4116">
        <w:rPr>
          <w:rFonts w:ascii="Times New Roman" w:hAnsi="Times New Roman" w:cs="Times New Roman"/>
          <w:b/>
          <w:sz w:val="26"/>
          <w:szCs w:val="26"/>
        </w:rPr>
        <w:t>: Abonelik Sözleşmelerinde Yaşanan Sorunlar ve Çözüm Önerileri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 xml:space="preserve">1) Tüketiciye sözleşmenin bir nüshasının verilmemesi </w:t>
      </w:r>
      <w:r>
        <w:rPr>
          <w:rFonts w:ascii="Times New Roman" w:hAnsi="Times New Roman" w:cs="Times New Roman"/>
          <w:sz w:val="26"/>
          <w:szCs w:val="26"/>
        </w:rPr>
        <w:t>gibi</w:t>
      </w:r>
      <w:r w:rsidRPr="00CC4116">
        <w:rPr>
          <w:rFonts w:ascii="Times New Roman" w:hAnsi="Times New Roman" w:cs="Times New Roman"/>
          <w:sz w:val="26"/>
          <w:szCs w:val="26"/>
        </w:rPr>
        <w:t xml:space="preserve"> 6502 sayılı </w:t>
      </w:r>
      <w:r>
        <w:rPr>
          <w:rFonts w:ascii="Times New Roman" w:hAnsi="Times New Roman" w:cs="Times New Roman"/>
          <w:sz w:val="26"/>
          <w:szCs w:val="26"/>
        </w:rPr>
        <w:t>Kanun’a</w:t>
      </w:r>
      <w:r w:rsidRPr="00CC4116">
        <w:rPr>
          <w:rFonts w:ascii="Times New Roman" w:hAnsi="Times New Roman" w:cs="Times New Roman"/>
          <w:sz w:val="26"/>
          <w:szCs w:val="26"/>
        </w:rPr>
        <w:t xml:space="preserve"> aykırı </w:t>
      </w:r>
      <w:r>
        <w:rPr>
          <w:rFonts w:ascii="Times New Roman" w:hAnsi="Times New Roman" w:cs="Times New Roman"/>
          <w:sz w:val="26"/>
          <w:szCs w:val="26"/>
        </w:rPr>
        <w:t>uygulamaların</w:t>
      </w:r>
      <w:r w:rsidRPr="00CC4116">
        <w:rPr>
          <w:rFonts w:ascii="Times New Roman" w:hAnsi="Times New Roman" w:cs="Times New Roman"/>
          <w:sz w:val="26"/>
          <w:szCs w:val="26"/>
        </w:rPr>
        <w:t xml:space="preserve"> önüne geçilmesi içi</w:t>
      </w:r>
      <w:r>
        <w:rPr>
          <w:rFonts w:ascii="Times New Roman" w:hAnsi="Times New Roman" w:cs="Times New Roman"/>
          <w:sz w:val="26"/>
          <w:szCs w:val="26"/>
        </w:rPr>
        <w:t>n gerekli tedbirlerin alınması</w:t>
      </w:r>
      <w:r w:rsidRPr="00CC4116">
        <w:rPr>
          <w:rFonts w:ascii="Times New Roman" w:hAnsi="Times New Roman" w:cs="Times New Roman"/>
          <w:sz w:val="26"/>
          <w:szCs w:val="26"/>
        </w:rPr>
        <w:t>,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 xml:space="preserve">2) Ticaret Bakanlığı ve Bilgi Teknolojileri İletişim Kurumu’nun mevzuat düzenleme </w:t>
      </w:r>
      <w:r>
        <w:rPr>
          <w:rFonts w:ascii="Times New Roman" w:hAnsi="Times New Roman" w:cs="Times New Roman"/>
          <w:sz w:val="26"/>
          <w:szCs w:val="26"/>
        </w:rPr>
        <w:t>gibi</w:t>
      </w:r>
      <w:r w:rsidRPr="00CC4116">
        <w:rPr>
          <w:rFonts w:ascii="Times New Roman" w:hAnsi="Times New Roman" w:cs="Times New Roman"/>
          <w:sz w:val="26"/>
          <w:szCs w:val="26"/>
        </w:rPr>
        <w:t xml:space="preserve"> konularda işbirliği </w:t>
      </w:r>
      <w:r>
        <w:rPr>
          <w:rFonts w:ascii="Times New Roman" w:hAnsi="Times New Roman" w:cs="Times New Roman"/>
          <w:sz w:val="26"/>
          <w:szCs w:val="26"/>
        </w:rPr>
        <w:t>yapmaları</w:t>
      </w:r>
      <w:r w:rsidRPr="00CC411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>3) Güvence bedellerinin ilgili kurum ve kuruluşlarca f</w:t>
      </w:r>
      <w:r>
        <w:rPr>
          <w:rFonts w:ascii="Times New Roman" w:hAnsi="Times New Roman" w:cs="Times New Roman"/>
          <w:sz w:val="26"/>
          <w:szCs w:val="26"/>
        </w:rPr>
        <w:t>arklı şekillerde uygulanmaması ve bu konuda</w:t>
      </w:r>
      <w:r w:rsidRPr="00CC4116">
        <w:rPr>
          <w:rFonts w:ascii="Times New Roman" w:hAnsi="Times New Roman" w:cs="Times New Roman"/>
          <w:sz w:val="26"/>
          <w:szCs w:val="26"/>
        </w:rPr>
        <w:t xml:space="preserve"> tüketici mağduriyetleri yaşanmasının önlenmesi</w:t>
      </w:r>
      <w:r>
        <w:rPr>
          <w:rFonts w:ascii="Times New Roman" w:hAnsi="Times New Roman" w:cs="Times New Roman"/>
          <w:sz w:val="26"/>
          <w:szCs w:val="26"/>
        </w:rPr>
        <w:t xml:space="preserve"> için</w:t>
      </w:r>
      <w:r w:rsidRPr="00CC4116">
        <w:rPr>
          <w:rFonts w:ascii="Times New Roman" w:hAnsi="Times New Roman" w:cs="Times New Roman"/>
          <w:sz w:val="26"/>
          <w:szCs w:val="26"/>
        </w:rPr>
        <w:t xml:space="preserve"> azami</w:t>
      </w:r>
      <w:r>
        <w:rPr>
          <w:rFonts w:ascii="Times New Roman" w:hAnsi="Times New Roman" w:cs="Times New Roman"/>
          <w:sz w:val="26"/>
          <w:szCs w:val="26"/>
        </w:rPr>
        <w:t xml:space="preserve"> dikkat ve özenin gösterilmesi</w:t>
      </w:r>
      <w:r w:rsidRPr="00CC4116">
        <w:rPr>
          <w:rFonts w:ascii="Times New Roman" w:hAnsi="Times New Roman" w:cs="Times New Roman"/>
          <w:sz w:val="26"/>
          <w:szCs w:val="26"/>
        </w:rPr>
        <w:t>,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 xml:space="preserve">4) Abonelik sözleşmelerindeki taahhüdün bitmesine </w:t>
      </w:r>
      <w:r>
        <w:rPr>
          <w:rFonts w:ascii="Times New Roman" w:hAnsi="Times New Roman" w:cs="Times New Roman"/>
          <w:sz w:val="26"/>
          <w:szCs w:val="26"/>
        </w:rPr>
        <w:t>bir veya iki</w:t>
      </w:r>
      <w:r w:rsidRPr="00CC4116">
        <w:rPr>
          <w:rFonts w:ascii="Times New Roman" w:hAnsi="Times New Roman" w:cs="Times New Roman"/>
          <w:sz w:val="26"/>
          <w:szCs w:val="26"/>
        </w:rPr>
        <w:t xml:space="preserve"> ay kala tüketicilerin telefonla aranma</w:t>
      </w:r>
      <w:r>
        <w:rPr>
          <w:rFonts w:ascii="Times New Roman" w:hAnsi="Times New Roman" w:cs="Times New Roman"/>
          <w:sz w:val="26"/>
          <w:szCs w:val="26"/>
        </w:rPr>
        <w:t xml:space="preserve">sı suretiyle mevcut </w:t>
      </w:r>
      <w:r w:rsidRPr="00CC4116">
        <w:rPr>
          <w:rFonts w:ascii="Times New Roman" w:hAnsi="Times New Roman" w:cs="Times New Roman"/>
          <w:sz w:val="26"/>
          <w:szCs w:val="26"/>
        </w:rPr>
        <w:t>aboneliğ</w:t>
      </w:r>
      <w:r>
        <w:rPr>
          <w:rFonts w:ascii="Times New Roman" w:hAnsi="Times New Roman" w:cs="Times New Roman"/>
          <w:sz w:val="26"/>
          <w:szCs w:val="26"/>
        </w:rPr>
        <w:t xml:space="preserve">in aynı veya daha farklı taahhütlerle devam ettirilmesinin </w:t>
      </w:r>
      <w:r w:rsidRPr="00CC4116">
        <w:rPr>
          <w:rFonts w:ascii="Times New Roman" w:hAnsi="Times New Roman" w:cs="Times New Roman"/>
          <w:sz w:val="26"/>
          <w:szCs w:val="26"/>
        </w:rPr>
        <w:t>ön</w:t>
      </w:r>
      <w:r>
        <w:rPr>
          <w:rFonts w:ascii="Times New Roman" w:hAnsi="Times New Roman" w:cs="Times New Roman"/>
          <w:sz w:val="26"/>
          <w:szCs w:val="26"/>
        </w:rPr>
        <w:t xml:space="preserve">lenmesi, </w:t>
      </w:r>
    </w:p>
    <w:p w:rsidR="00434425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>5) Sayaç ve saat yenileme işlemleri ile ilgili tüketici mağduriyetlerinin önlenmesi hususunda ilgili kurum ve kuruluşlarca gerekli önlemlerin alınması,</w:t>
      </w:r>
    </w:p>
    <w:p w:rsidR="00434425" w:rsidRPr="00CC4116" w:rsidRDefault="00434425" w:rsidP="00434425">
      <w:pPr>
        <w:spacing w:after="0" w:line="240" w:lineRule="auto"/>
        <w:ind w:right="-86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116">
        <w:rPr>
          <w:rFonts w:ascii="Times New Roman" w:hAnsi="Times New Roman" w:cs="Times New Roman"/>
          <w:b/>
          <w:sz w:val="26"/>
          <w:szCs w:val="26"/>
        </w:rPr>
        <w:t>II.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CC4116">
        <w:rPr>
          <w:rFonts w:ascii="Times New Roman" w:hAnsi="Times New Roman" w:cs="Times New Roman"/>
          <w:b/>
          <w:sz w:val="26"/>
          <w:szCs w:val="26"/>
        </w:rPr>
        <w:t>Çalıştay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4116">
        <w:rPr>
          <w:rFonts w:ascii="Times New Roman" w:hAnsi="Times New Roman" w:cs="Times New Roman"/>
          <w:b/>
          <w:sz w:val="26"/>
          <w:szCs w:val="26"/>
        </w:rPr>
        <w:t>: Mesafeli</w:t>
      </w:r>
      <w:proofErr w:type="gramEnd"/>
      <w:r w:rsidRPr="00CC4116">
        <w:rPr>
          <w:rFonts w:ascii="Times New Roman" w:hAnsi="Times New Roman" w:cs="Times New Roman"/>
          <w:b/>
          <w:sz w:val="26"/>
          <w:szCs w:val="26"/>
        </w:rPr>
        <w:t xml:space="preserve"> Sözleşmelerde Yaşanılan Sorunlar ve Çözüm Önerileri</w:t>
      </w:r>
    </w:p>
    <w:p w:rsidR="00434425" w:rsidRPr="00CC4116" w:rsidRDefault="00434425" w:rsidP="00434425">
      <w:pPr>
        <w:spacing w:after="0" w:line="240" w:lineRule="auto"/>
        <w:ind w:right="-86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 xml:space="preserve">1) Mesafeli satışlarda tüketicinin 14 günlük cayma hakkını kullanmasını zorlaştıran </w:t>
      </w:r>
      <w:r>
        <w:rPr>
          <w:rFonts w:ascii="Times New Roman" w:hAnsi="Times New Roman" w:cs="Times New Roman"/>
          <w:sz w:val="26"/>
          <w:szCs w:val="26"/>
        </w:rPr>
        <w:t>uygulamaların</w:t>
      </w:r>
      <w:r w:rsidRPr="00CC4116">
        <w:rPr>
          <w:rFonts w:ascii="Times New Roman" w:hAnsi="Times New Roman" w:cs="Times New Roman"/>
          <w:sz w:val="26"/>
          <w:szCs w:val="26"/>
        </w:rPr>
        <w:t xml:space="preserve"> giderilmesi için gerekli önlemlerin alınması, 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>2) Sosyal medya ve internetteki çeşitli platformlar üzerinden yapılan satışlarda satıcının isim, unvan, adres, telefon vb. iletişi</w:t>
      </w:r>
      <w:r>
        <w:rPr>
          <w:rFonts w:ascii="Times New Roman" w:hAnsi="Times New Roman" w:cs="Times New Roman"/>
          <w:sz w:val="26"/>
          <w:szCs w:val="26"/>
        </w:rPr>
        <w:t>m bilgilerinin</w:t>
      </w:r>
      <w:r w:rsidRPr="00CC4116">
        <w:rPr>
          <w:rFonts w:ascii="Times New Roman" w:hAnsi="Times New Roman" w:cs="Times New Roman"/>
          <w:sz w:val="26"/>
          <w:szCs w:val="26"/>
        </w:rPr>
        <w:t>, dolayısıyla satıcı olarak muhatabın</w:t>
      </w:r>
      <w:r>
        <w:rPr>
          <w:rFonts w:ascii="Times New Roman" w:hAnsi="Times New Roman" w:cs="Times New Roman"/>
          <w:sz w:val="26"/>
          <w:szCs w:val="26"/>
        </w:rPr>
        <w:t>ın</w:t>
      </w:r>
      <w:r w:rsidRPr="00CC4116">
        <w:rPr>
          <w:rFonts w:ascii="Times New Roman" w:hAnsi="Times New Roman" w:cs="Times New Roman"/>
          <w:sz w:val="26"/>
          <w:szCs w:val="26"/>
        </w:rPr>
        <w:t xml:space="preserve"> bulunamaması, kargoyla gelen ürünün tüketicinin internetten satın </w:t>
      </w:r>
      <w:r>
        <w:rPr>
          <w:rFonts w:ascii="Times New Roman" w:hAnsi="Times New Roman" w:cs="Times New Roman"/>
          <w:sz w:val="26"/>
          <w:szCs w:val="26"/>
        </w:rPr>
        <w:t xml:space="preserve">aldığı </w:t>
      </w:r>
      <w:r w:rsidRPr="00CC4116">
        <w:rPr>
          <w:rFonts w:ascii="Times New Roman" w:hAnsi="Times New Roman" w:cs="Times New Roman"/>
          <w:sz w:val="26"/>
          <w:szCs w:val="26"/>
        </w:rPr>
        <w:t>ürün olup olmadığının tespit edilememesi gibi tüketici sorunlarının önlenmesine yönelik gerekli çalışmaların yapılması,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>3) Bakanlıkların ve tüketici örgütlerinin mesafeli satışlar konusunda koordineli bir şekilde çalışması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Pr="00CC4116" w:rsidRDefault="00434425" w:rsidP="00434425">
      <w:pPr>
        <w:spacing w:after="0" w:line="240" w:lineRule="auto"/>
        <w:ind w:right="-85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b/>
          <w:sz w:val="26"/>
          <w:szCs w:val="26"/>
        </w:rPr>
        <w:t>III.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C4116">
        <w:rPr>
          <w:rFonts w:ascii="Times New Roman" w:hAnsi="Times New Roman" w:cs="Times New Roman"/>
          <w:b/>
          <w:sz w:val="26"/>
          <w:szCs w:val="26"/>
        </w:rPr>
        <w:t>Çalıştay</w:t>
      </w:r>
      <w:proofErr w:type="spellEnd"/>
      <w:r w:rsidRPr="00CC4116">
        <w:rPr>
          <w:rFonts w:ascii="Times New Roman" w:hAnsi="Times New Roman" w:cs="Times New Roman"/>
          <w:b/>
          <w:sz w:val="26"/>
          <w:szCs w:val="26"/>
        </w:rPr>
        <w:t>: Tüketici Uyuşmazlıklarında Arabuluculuk Tartışmaları</w:t>
      </w:r>
    </w:p>
    <w:p w:rsidR="00434425" w:rsidRPr="00CC4116" w:rsidRDefault="00434425" w:rsidP="00434425">
      <w:pPr>
        <w:spacing w:after="0" w:line="240" w:lineRule="auto"/>
        <w:ind w:right="-85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4116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CC4116">
        <w:rPr>
          <w:rFonts w:ascii="Times New Roman" w:hAnsi="Times New Roman" w:cs="Times New Roman"/>
          <w:sz w:val="26"/>
          <w:szCs w:val="26"/>
        </w:rPr>
        <w:t xml:space="preserve">rabuluculuk sisteminin 6502 sayılı Tüketicinin Korunması Hakkında Kanun ve Uygulama Yönetmeliklerinin tüketicilere getirdiği haklar gözetilerek </w:t>
      </w:r>
      <w:r>
        <w:rPr>
          <w:rFonts w:ascii="Times New Roman" w:hAnsi="Times New Roman" w:cs="Times New Roman"/>
          <w:sz w:val="26"/>
          <w:szCs w:val="26"/>
        </w:rPr>
        <w:t>yürütülmesi,</w:t>
      </w:r>
      <w:r w:rsidR="00505F0F">
        <w:rPr>
          <w:rFonts w:ascii="Times New Roman" w:hAnsi="Times New Roman" w:cs="Times New Roman"/>
          <w:sz w:val="26"/>
          <w:szCs w:val="26"/>
        </w:rPr>
        <w:t xml:space="preserve"> dolayısıyla anılan Kanun’un emredici hükümlerinin bulunduğu konuların taraflar arasında </w:t>
      </w:r>
      <w:r w:rsidR="00CC0A38">
        <w:rPr>
          <w:rFonts w:ascii="Times New Roman" w:hAnsi="Times New Roman" w:cs="Times New Roman"/>
          <w:sz w:val="26"/>
          <w:szCs w:val="26"/>
        </w:rPr>
        <w:t>arabuluculuk</w:t>
      </w:r>
      <w:r w:rsidR="00505F0F">
        <w:rPr>
          <w:rFonts w:ascii="Times New Roman" w:hAnsi="Times New Roman" w:cs="Times New Roman"/>
          <w:sz w:val="26"/>
          <w:szCs w:val="26"/>
        </w:rPr>
        <w:t xml:space="preserve"> konusu edilmemesi gerektiği, </w:t>
      </w:r>
    </w:p>
    <w:p w:rsidR="00505F0F" w:rsidRDefault="00505F0F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05F0F" w:rsidRDefault="00505F0F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Mevcut </w:t>
      </w:r>
      <w:r w:rsidR="00D70C45">
        <w:rPr>
          <w:rFonts w:ascii="Times New Roman" w:hAnsi="Times New Roman" w:cs="Times New Roman"/>
          <w:sz w:val="26"/>
          <w:szCs w:val="26"/>
        </w:rPr>
        <w:t>düzenlemelerde (6502 sayılı Kanun 68/5. madde)</w:t>
      </w:r>
      <w:r>
        <w:rPr>
          <w:rFonts w:ascii="Times New Roman" w:hAnsi="Times New Roman" w:cs="Times New Roman"/>
          <w:sz w:val="26"/>
          <w:szCs w:val="26"/>
        </w:rPr>
        <w:t xml:space="preserve"> ihtiyari bir şekilde </w:t>
      </w:r>
      <w:r w:rsidR="00D70C45">
        <w:rPr>
          <w:rFonts w:ascii="Times New Roman" w:hAnsi="Times New Roman" w:cs="Times New Roman"/>
          <w:sz w:val="26"/>
          <w:szCs w:val="26"/>
        </w:rPr>
        <w:t xml:space="preserve">tüketicilerin ilgili mevzuata göre alternatif uyuşmazlık çözüm mercilerine başvurmasına bir engel bulunmadığı dolayısıyla, </w:t>
      </w:r>
      <w:r>
        <w:rPr>
          <w:rFonts w:ascii="Times New Roman" w:hAnsi="Times New Roman" w:cs="Times New Roman"/>
          <w:sz w:val="26"/>
          <w:szCs w:val="26"/>
        </w:rPr>
        <w:t xml:space="preserve">tarafların bu çözüm yolundan yararlanmasının her zaman mümkün olduğu söz konusu olmakla birlikte dava şartı olarak arabuluculuğun sisteme getirilmesinin tüketici mağduriyetlerine neden olabileceği, </w:t>
      </w:r>
    </w:p>
    <w:p w:rsidR="00505F0F" w:rsidRDefault="00505F0F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05F0F" w:rsidRPr="00CC4116" w:rsidRDefault="00505F0F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Arabuluculuk sisteminin mevcut haliyle </w:t>
      </w:r>
      <w:r w:rsidR="00F1380A">
        <w:rPr>
          <w:rFonts w:ascii="Times New Roman" w:hAnsi="Times New Roman" w:cs="Times New Roman"/>
          <w:sz w:val="26"/>
          <w:szCs w:val="26"/>
        </w:rPr>
        <w:t xml:space="preserve">tüketiciye ek bir külfet getirmesi ve tüketici uyuşmazlıklarının kendine özgü nitelikleri itibariyle </w:t>
      </w:r>
      <w:r>
        <w:rPr>
          <w:rFonts w:ascii="Times New Roman" w:hAnsi="Times New Roman" w:cs="Times New Roman"/>
          <w:sz w:val="26"/>
          <w:szCs w:val="26"/>
        </w:rPr>
        <w:t xml:space="preserve">tüketici sorunlarının çözümünde </w:t>
      </w:r>
      <w:r w:rsidR="00F1380A">
        <w:rPr>
          <w:rFonts w:ascii="Times New Roman" w:hAnsi="Times New Roman" w:cs="Times New Roman"/>
          <w:sz w:val="26"/>
          <w:szCs w:val="26"/>
        </w:rPr>
        <w:t>etkin bir yöntem</w:t>
      </w:r>
      <w:r>
        <w:rPr>
          <w:rFonts w:ascii="Times New Roman" w:hAnsi="Times New Roman" w:cs="Times New Roman"/>
          <w:sz w:val="26"/>
          <w:szCs w:val="26"/>
        </w:rPr>
        <w:t xml:space="preserve"> olamayacağı,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0B73" w:rsidRPr="00CC4116" w:rsidRDefault="00505F0F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4425" w:rsidRPr="00CC4116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Tüketici sorunlarında alternatif çözüm olarak </w:t>
      </w:r>
      <w:r w:rsidR="00434425" w:rsidRPr="00CC4116">
        <w:rPr>
          <w:rFonts w:ascii="Times New Roman" w:hAnsi="Times New Roman" w:cs="Times New Roman"/>
          <w:sz w:val="26"/>
          <w:szCs w:val="26"/>
        </w:rPr>
        <w:t>Tüketici Hakem Heyetlerinin ve tüketici örgütlerinin güçlendirilmesinin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70B73">
        <w:rPr>
          <w:rFonts w:ascii="Times New Roman" w:hAnsi="Times New Roman" w:cs="Times New Roman"/>
          <w:sz w:val="26"/>
          <w:szCs w:val="26"/>
        </w:rPr>
        <w:t xml:space="preserve">mevcut durumlarının iyileştirilmesi ve işlevselliklerinin artırılmasının </w:t>
      </w:r>
      <w:r w:rsidR="00434425" w:rsidRPr="00CC4116">
        <w:rPr>
          <w:rFonts w:ascii="Times New Roman" w:hAnsi="Times New Roman" w:cs="Times New Roman"/>
          <w:sz w:val="26"/>
          <w:szCs w:val="26"/>
        </w:rPr>
        <w:t xml:space="preserve">tüketicinin korunmasında </w:t>
      </w:r>
      <w:r w:rsidR="00470B73">
        <w:rPr>
          <w:rFonts w:ascii="Times New Roman" w:hAnsi="Times New Roman" w:cs="Times New Roman"/>
          <w:sz w:val="26"/>
          <w:szCs w:val="26"/>
        </w:rPr>
        <w:t xml:space="preserve">daha </w:t>
      </w:r>
      <w:r w:rsidR="00434425" w:rsidRPr="00CC4116">
        <w:rPr>
          <w:rFonts w:ascii="Times New Roman" w:hAnsi="Times New Roman" w:cs="Times New Roman"/>
          <w:sz w:val="26"/>
          <w:szCs w:val="26"/>
        </w:rPr>
        <w:t>yararlı olacağı</w:t>
      </w:r>
      <w:r w:rsidR="00CC0A38">
        <w:rPr>
          <w:rFonts w:ascii="Times New Roman" w:hAnsi="Times New Roman" w:cs="Times New Roman"/>
          <w:sz w:val="26"/>
          <w:szCs w:val="26"/>
        </w:rPr>
        <w:t xml:space="preserve"> ve </w:t>
      </w:r>
      <w:bookmarkStart w:id="0" w:name="_GoBack"/>
      <w:bookmarkEnd w:id="0"/>
      <w:r w:rsidR="00F1380A">
        <w:rPr>
          <w:rFonts w:ascii="Times New Roman" w:hAnsi="Times New Roman" w:cs="Times New Roman"/>
          <w:sz w:val="26"/>
          <w:szCs w:val="26"/>
        </w:rPr>
        <w:t>b</w:t>
      </w:r>
      <w:r w:rsidR="00470B73">
        <w:rPr>
          <w:rFonts w:ascii="Times New Roman" w:hAnsi="Times New Roman" w:cs="Times New Roman"/>
          <w:sz w:val="26"/>
          <w:szCs w:val="26"/>
        </w:rPr>
        <w:t>u çalışma grubunun rapor sonuçlarının Adalet Bakanlığı’na bildirilmesi</w:t>
      </w:r>
      <w:r w:rsidR="00F1380A">
        <w:rPr>
          <w:rFonts w:ascii="Times New Roman" w:hAnsi="Times New Roman" w:cs="Times New Roman"/>
          <w:sz w:val="26"/>
          <w:szCs w:val="26"/>
        </w:rPr>
        <w:t xml:space="preserve"> tavsiye edilmiştir.</w:t>
      </w:r>
    </w:p>
    <w:p w:rsidR="00434425" w:rsidRPr="00CC4116" w:rsidRDefault="00434425" w:rsidP="00434425">
      <w:pPr>
        <w:spacing w:after="0" w:line="240" w:lineRule="auto"/>
        <w:ind w:right="-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4425" w:rsidRDefault="00434425"/>
    <w:sectPr w:rsidR="0043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5"/>
    <w:rsid w:val="00434425"/>
    <w:rsid w:val="00470B73"/>
    <w:rsid w:val="00505F0F"/>
    <w:rsid w:val="0090601B"/>
    <w:rsid w:val="00B84363"/>
    <w:rsid w:val="00CC0A38"/>
    <w:rsid w:val="00D70C45"/>
    <w:rsid w:val="00F1380A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0D56"/>
  <w15:chartTrackingRefBased/>
  <w15:docId w15:val="{9D8A35B0-A042-44FD-ABF7-F157C66A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2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434425"/>
    <w:pPr>
      <w:widowControl w:val="0"/>
      <w:snapToGri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34425"/>
    <w:rPr>
      <w:rFonts w:ascii="Arial" w:eastAsia="Times New Roman" w:hAnsi="Arial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05F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C4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Devlet Güldağ</dc:creator>
  <cp:keywords/>
  <dc:description/>
  <cp:lastModifiedBy>Devlet Güldağ</cp:lastModifiedBy>
  <cp:revision>5</cp:revision>
  <cp:lastPrinted>2019-08-06T09:32:00Z</cp:lastPrinted>
  <dcterms:created xsi:type="dcterms:W3CDTF">2019-08-06T08:33:00Z</dcterms:created>
  <dcterms:modified xsi:type="dcterms:W3CDTF">2019-08-09T11:22:00Z</dcterms:modified>
</cp:coreProperties>
</file>